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DESEMPEÑO: Identidad y apropiaci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NOTA: Esta guía ha de ser entregada 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del día 24/07/2020.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Símbolos Patrios.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Visitemos la siguiente página para ampliar nuestros Saberes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https://tinyurl.com/ydb24ezz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pinta estos símbolos.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05475" cy="7914046"/>
            <wp:effectExtent b="0" l="0" r="0" t="0"/>
            <wp:docPr id="10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914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20160" w:w="12240"/>
      <w:pgMar w:bottom="1440" w:top="1440" w:left="1077" w:right="10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55.0" w:type="dxa"/>
      <w:jc w:val="left"/>
      <w:tblInd w:w="0.0" w:type="dxa"/>
      <w:tblLayout w:type="fixed"/>
      <w:tblLook w:val="0000"/>
    </w:tblPr>
    <w:tblGrid>
      <w:gridCol w:w="1985"/>
      <w:gridCol w:w="1650"/>
      <w:gridCol w:w="1050"/>
      <w:gridCol w:w="1696"/>
      <w:gridCol w:w="1843"/>
      <w:gridCol w:w="2131"/>
      <w:tblGridChange w:id="0">
        <w:tblGrid>
          <w:gridCol w:w="1985"/>
          <w:gridCol w:w="1650"/>
          <w:gridCol w:w="1050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61597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Artística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inyurl.com/ydb24ezz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Kb3zjpqdfzA2uydVxZpoS8++A==">AMUW2mUnrvFMO3VO96rcbXWhhrip/B2TkEf1JWhSh0b34pJ8i4lWDC6SqDzX7D8NB62YPio9duhWedcSrhNopum1xxjzSpKC1bnZc/7N78jbgn+pZYPA2us=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2020-04-01T04:57:00Z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